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343" w:rsidRDefault="003863BC">
      <w:pPr>
        <w:rPr>
          <w:lang w:val="es-ES"/>
        </w:rPr>
      </w:pPr>
      <w:r>
        <w:rPr>
          <w:lang w:val="es-ES"/>
        </w:rPr>
        <w:t>Ruta de trabajo 7º</w:t>
      </w:r>
    </w:p>
    <w:p w:rsidR="003863BC" w:rsidRDefault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estudiante debe ver el video “La agricultura como impulsor de las primeras desigualdades sociales”, el cual se encuentra en la página del colegio.</w:t>
      </w:r>
    </w:p>
    <w:p w:rsidR="003863BC" w:rsidRDefault="003863BC" w:rsidP="003863BC">
      <w:pPr>
        <w:rPr>
          <w:lang w:val="es-ES"/>
        </w:rPr>
      </w:pPr>
    </w:p>
    <w:p w:rsidR="003863BC" w:rsidRP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estudiante debe realizar la guía de trabajo titulada “Primeras culturas urbanas de Mesopotamia”, la cual se encuentra en la página del colegio.</w:t>
      </w:r>
    </w:p>
    <w:sectPr w:rsidR="003863BC" w:rsidRPr="003863BC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265343"/>
    <w:rsid w:val="003863BC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B78F7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2020-04-24T10:47:00Z</dcterms:created>
  <dcterms:modified xsi:type="dcterms:W3CDTF">2020-04-24T10:50:00Z</dcterms:modified>
</cp:coreProperties>
</file>